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43740" w14:textId="24643087" w:rsidR="000145BE" w:rsidRPr="00C56303" w:rsidRDefault="000145BE" w:rsidP="00C563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6303">
        <w:rPr>
          <w:rFonts w:ascii="Times New Roman" w:hAnsi="Times New Roman" w:cs="Times New Roman"/>
          <w:b/>
          <w:bCs/>
          <w:sz w:val="24"/>
          <w:szCs w:val="24"/>
        </w:rPr>
        <w:t>НЕТЕХНИЧЕСКОЕ РЕЗЮМЕ</w:t>
      </w:r>
    </w:p>
    <w:p w14:paraId="32A679DE" w14:textId="77777777" w:rsidR="000145BE" w:rsidRPr="00C56303" w:rsidRDefault="000145BE" w:rsidP="00C563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3C3C50" w14:textId="36F17CEE" w:rsidR="00C7651C" w:rsidRPr="00C7651C" w:rsidRDefault="00F612DE" w:rsidP="00C7651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12DE">
        <w:rPr>
          <w:rFonts w:ascii="Times New Roman" w:hAnsi="Times New Roman" w:cs="Times New Roman"/>
          <w:b/>
          <w:bCs/>
          <w:sz w:val="24"/>
          <w:szCs w:val="24"/>
        </w:rPr>
        <w:t xml:space="preserve">Раздел охраны окружающей среды, проект нормативов допустимых выбросов (НДВ), программа управления отходами, программа производственного экологического контроля, план мероприятий для «Плана горных работ </w:t>
      </w:r>
      <w:r w:rsidR="00C7651C" w:rsidRPr="00C7651C">
        <w:rPr>
          <w:rFonts w:ascii="Times New Roman" w:hAnsi="Times New Roman" w:cs="Times New Roman"/>
          <w:b/>
          <w:bCs/>
          <w:sz w:val="24"/>
          <w:szCs w:val="24"/>
        </w:rPr>
        <w:t>на добычу магматических горных пород:  строительного камня (диабаз) месторождения Улгайсынское-I</w:t>
      </w:r>
      <w:r w:rsidR="00044210" w:rsidRPr="0004421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C7651C" w:rsidRPr="00C765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CB97D25" w14:textId="74E2A96B" w:rsidR="000145BE" w:rsidRPr="00D12A70" w:rsidRDefault="00C7651C" w:rsidP="00C7651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651C">
        <w:rPr>
          <w:rFonts w:ascii="Times New Roman" w:hAnsi="Times New Roman" w:cs="Times New Roman"/>
          <w:b/>
          <w:bCs/>
          <w:sz w:val="24"/>
          <w:szCs w:val="24"/>
        </w:rPr>
        <w:t>в Айтекебийском районе Актюбинской области</w:t>
      </w:r>
      <w:r w:rsidR="007F310D" w:rsidRPr="007F310D">
        <w:rPr>
          <w:rFonts w:ascii="Times New Roman" w:hAnsi="Times New Roman" w:cs="Times New Roman"/>
          <w:b/>
          <w:bCs/>
          <w:sz w:val="24"/>
          <w:szCs w:val="24"/>
          <w:lang w:val="ru-RU"/>
        </w:rPr>
        <w:t>»</w:t>
      </w:r>
      <w:r w:rsidR="000145BE" w:rsidRPr="000145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F972FB" w14:textId="77777777" w:rsidR="007F310D" w:rsidRPr="000145BE" w:rsidRDefault="007F310D" w:rsidP="007F310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302CFDC" w14:textId="77777777" w:rsidR="000145BE" w:rsidRPr="00C56303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5630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Общие сведения о предприятии (Заказчик):  </w:t>
      </w:r>
    </w:p>
    <w:p w14:paraId="3E0486B9" w14:textId="37F3B241" w:rsidR="000145BE" w:rsidRDefault="00044210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210">
        <w:rPr>
          <w:rFonts w:ascii="Times New Roman" w:hAnsi="Times New Roman" w:cs="Times New Roman"/>
          <w:sz w:val="24"/>
          <w:szCs w:val="24"/>
        </w:rPr>
        <w:t>ТОО «KHAN BETON AQTOBE», БИН 211040034575, РК, Актюбинская область, г.Актобе, район Астана, квартал Промзона, здание №350, тел.: 87012232220, e-mail: l.scarti2017@mail.ru</w:t>
      </w:r>
      <w:r w:rsidR="00C7651C" w:rsidRPr="00C7651C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DDF772E" w14:textId="77777777" w:rsidR="007F310D" w:rsidRPr="000145BE" w:rsidRDefault="007F310D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EB12985" w14:textId="77777777" w:rsidR="000145BE" w:rsidRPr="00C56303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5630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Общие сведения о разработчике: </w:t>
      </w:r>
    </w:p>
    <w:p w14:paraId="7D92A3A3" w14:textId="5A180B06" w:rsidR="000145BE" w:rsidRPr="000145BE" w:rsidRDefault="00F612DE" w:rsidP="00C5630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2DE">
        <w:rPr>
          <w:rFonts w:ascii="Times New Roman" w:hAnsi="Times New Roman" w:cs="Times New Roman"/>
          <w:sz w:val="24"/>
          <w:szCs w:val="24"/>
        </w:rPr>
        <w:t>ТОО «PEGAS OIL COMPANY», БИН 140840007866, РК, г.Актобе, район Алматы, ж.м. Заречный-2, дом 704/7, тел.: 87771679393, е-mail: marat_bekmukashe@mail.ru</w:t>
      </w:r>
      <w:r w:rsidR="00C56303" w:rsidRPr="00C56303">
        <w:rPr>
          <w:rFonts w:ascii="Times New Roman" w:hAnsi="Times New Roman" w:cs="Times New Roman"/>
          <w:sz w:val="24"/>
          <w:szCs w:val="24"/>
        </w:rPr>
        <w:t>.</w:t>
      </w:r>
    </w:p>
    <w:p w14:paraId="7D9C99A0" w14:textId="77777777" w:rsidR="000145BE" w:rsidRPr="000145B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A86AEFF" w14:textId="77F24CC9" w:rsidR="000145BE" w:rsidRPr="00C56303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5630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Общие сведения по проекту </w:t>
      </w:r>
    </w:p>
    <w:p w14:paraId="16256866" w14:textId="77777777" w:rsidR="00044210" w:rsidRPr="00044210" w:rsidRDefault="00044210" w:rsidP="00044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210">
        <w:rPr>
          <w:rFonts w:ascii="Times New Roman" w:hAnsi="Times New Roman" w:cs="Times New Roman"/>
          <w:sz w:val="24"/>
          <w:szCs w:val="24"/>
        </w:rPr>
        <w:t xml:space="preserve">Настоящим Планом Горных работ предусматривается производство горных работ по добыче строительного камня (диабаза) месторождения Улгайсынское-II, расположенного в 4,0 км на север от пос. Донгелексор (бывший пос. Улгайсын) Айтекебийского района Актю-бинской области Республики Казахстан. </w:t>
      </w:r>
    </w:p>
    <w:p w14:paraId="3422D564" w14:textId="77777777" w:rsidR="00044210" w:rsidRPr="00044210" w:rsidRDefault="00044210" w:rsidP="00044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210">
        <w:rPr>
          <w:rFonts w:ascii="Times New Roman" w:hAnsi="Times New Roman" w:cs="Times New Roman"/>
          <w:sz w:val="24"/>
          <w:szCs w:val="24"/>
        </w:rPr>
        <w:t xml:space="preserve">Недропользователем месторождения Улгайсынское- II является ТОО «KHAN BETON AQTOBE». </w:t>
      </w:r>
    </w:p>
    <w:p w14:paraId="376129FB" w14:textId="77777777" w:rsidR="00044210" w:rsidRPr="00044210" w:rsidRDefault="00044210" w:rsidP="00044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210">
        <w:rPr>
          <w:rFonts w:ascii="Times New Roman" w:hAnsi="Times New Roman" w:cs="Times New Roman"/>
          <w:sz w:val="24"/>
          <w:szCs w:val="24"/>
        </w:rPr>
        <w:t xml:space="preserve">Запасы месторождения Улгайсынское-II утверждены Протоколом №341 заседания ТКЗ при ЗК ПГО «Запказгеология» от 26.06.1990г. по категории С1 в количестве 1473 тыс.м3. </w:t>
      </w:r>
    </w:p>
    <w:p w14:paraId="2594550E" w14:textId="77777777" w:rsidR="00044210" w:rsidRPr="00044210" w:rsidRDefault="00044210" w:rsidP="00044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210">
        <w:rPr>
          <w:rFonts w:ascii="Times New Roman" w:hAnsi="Times New Roman" w:cs="Times New Roman"/>
          <w:sz w:val="24"/>
          <w:szCs w:val="24"/>
        </w:rPr>
        <w:t xml:space="preserve">Компетентным органом – ГУ «Управление индустриально-инновационного развития Актюбинской области» - ТОО «KHAN BETON AQTOBE» предписано уведомление за № 02-4/1727 от 30.10.2023г., в котором отмечено, что в соответствии с п.3 статьи 205 </w:t>
      </w:r>
    </w:p>
    <w:p w14:paraId="468FCFE1" w14:textId="77777777" w:rsidR="00044210" w:rsidRPr="00044210" w:rsidRDefault="00044210" w:rsidP="00044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210">
        <w:rPr>
          <w:rFonts w:ascii="Times New Roman" w:hAnsi="Times New Roman" w:cs="Times New Roman"/>
          <w:sz w:val="24"/>
          <w:szCs w:val="24"/>
        </w:rPr>
        <w:t xml:space="preserve">Кодекса «О недрах и недропользовании» от 27.12.2017г. №125-VI о необходимости согласования Плана горных работ для оформления лицензии на добычу магматических гор-ных пород: строительного камня (диабаза) на месторождении Улгайсынское-II. </w:t>
      </w:r>
    </w:p>
    <w:p w14:paraId="1626C3C2" w14:textId="77777777" w:rsidR="00044210" w:rsidRPr="00044210" w:rsidRDefault="00044210" w:rsidP="00044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210">
        <w:rPr>
          <w:rFonts w:ascii="Times New Roman" w:hAnsi="Times New Roman" w:cs="Times New Roman"/>
          <w:sz w:val="24"/>
          <w:szCs w:val="24"/>
        </w:rPr>
        <w:t xml:space="preserve">В соответствии с вышеизложенным ТОО «KHAN BETON AQTOBE» составлен настоящий План горных работ. </w:t>
      </w:r>
    </w:p>
    <w:p w14:paraId="683094DC" w14:textId="6BCFC20C" w:rsidR="00044210" w:rsidRPr="00044210" w:rsidRDefault="00044210" w:rsidP="00044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210">
        <w:rPr>
          <w:rFonts w:ascii="Times New Roman" w:hAnsi="Times New Roman" w:cs="Times New Roman"/>
          <w:sz w:val="24"/>
          <w:szCs w:val="24"/>
        </w:rPr>
        <w:t xml:space="preserve">Содержание и форма Плана горных работ для добычи строительного камня соответствуют Техническому заданию Заказчика и действующим нормативным документам.  </w:t>
      </w:r>
    </w:p>
    <w:p w14:paraId="2ACB9C48" w14:textId="1C543901" w:rsidR="00044210" w:rsidRPr="00044210" w:rsidRDefault="00044210" w:rsidP="00044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210">
        <w:rPr>
          <w:rFonts w:ascii="Times New Roman" w:hAnsi="Times New Roman" w:cs="Times New Roman"/>
          <w:sz w:val="24"/>
          <w:szCs w:val="24"/>
        </w:rPr>
        <w:t xml:space="preserve">Основное направление использования добываемого строительного камня – получение щебня. Щебень может использоваться в дорожном строительстве. Для использования щебня в строительных бетонах следует провести дополнительные исследования щебня в строительных бетонах и асфальтобетонах. </w:t>
      </w:r>
    </w:p>
    <w:p w14:paraId="60374042" w14:textId="77777777" w:rsidR="00044210" w:rsidRPr="00044210" w:rsidRDefault="00044210" w:rsidP="00044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210">
        <w:rPr>
          <w:rFonts w:ascii="Times New Roman" w:hAnsi="Times New Roman" w:cs="Times New Roman"/>
          <w:sz w:val="24"/>
          <w:szCs w:val="24"/>
        </w:rPr>
        <w:t xml:space="preserve">На отработку утвержденных запасов строительного камня (диабаза) месторождения Улгайсынское-II подготовлена Картограмма, которая вместе с настоящим Планом горных работ и Планом ликвидации будет передана в Компетентный орган на получение Лицензии на добычу. </w:t>
      </w:r>
    </w:p>
    <w:p w14:paraId="6FE1FCB7" w14:textId="054D0277" w:rsidR="004C445D" w:rsidRDefault="00044210" w:rsidP="004C44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210">
        <w:rPr>
          <w:rFonts w:ascii="Times New Roman" w:hAnsi="Times New Roman" w:cs="Times New Roman"/>
          <w:sz w:val="24"/>
          <w:szCs w:val="24"/>
        </w:rPr>
        <w:t>Лицензия на добычу, согласно действующего законодательства, предоставляется на 10 лет – это 2024-2033гг., за которые ТОО «KHAN BETON AQTOBE» планирует отработать балансовые запасы в контуре Картограммы со следующими ежегодными показателями до-бычи промышленных запасов (тыс.м3): 2024-2033гг. – от 10 до 147,3.</w:t>
      </w:r>
    </w:p>
    <w:p w14:paraId="013FF5D5" w14:textId="77777777" w:rsidR="00044210" w:rsidRPr="000145BE" w:rsidRDefault="00044210" w:rsidP="004C44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C04A6CC" w14:textId="77777777" w:rsidR="000145BE" w:rsidRPr="004E005D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E005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Обоснование необходимости строительства объекта  </w:t>
      </w:r>
    </w:p>
    <w:p w14:paraId="74703070" w14:textId="052CE687" w:rsidR="00044210" w:rsidRPr="00044210" w:rsidRDefault="00044210" w:rsidP="00044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210">
        <w:rPr>
          <w:rFonts w:ascii="Times New Roman" w:hAnsi="Times New Roman" w:cs="Times New Roman"/>
          <w:sz w:val="24"/>
          <w:szCs w:val="24"/>
        </w:rPr>
        <w:t xml:space="preserve">Недропользователем месторождения Улгайсынское-II является ТОО «KHAN BETON AQTOBE». </w:t>
      </w:r>
    </w:p>
    <w:p w14:paraId="577CC2CE" w14:textId="6E75E8BF" w:rsidR="00D01BD5" w:rsidRDefault="00044210" w:rsidP="000442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210">
        <w:rPr>
          <w:rFonts w:ascii="Times New Roman" w:hAnsi="Times New Roman" w:cs="Times New Roman"/>
          <w:sz w:val="24"/>
          <w:szCs w:val="24"/>
        </w:rPr>
        <w:lastRenderedPageBreak/>
        <w:t>Запасы месторождения Улгайсынское-II утверждены Протоколом №341 заседания ТКЗ при ЗК ПГО «Запказгеология» от 26.06.1990г. по категории С1 в количестве 1473 тыс.м3.</w:t>
      </w:r>
    </w:p>
    <w:p w14:paraId="0A24C812" w14:textId="77777777" w:rsidR="000145BE" w:rsidRPr="000145B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01BFE81" w14:textId="77777777" w:rsidR="000145BE" w:rsidRPr="004E005D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E005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Предполагаемые сроки начала реализации намечаемой деятельности и ее </w:t>
      </w:r>
    </w:p>
    <w:p w14:paraId="0CFF7BE6" w14:textId="77777777" w:rsidR="000145BE" w:rsidRPr="004E005D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E005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завершение: </w:t>
      </w:r>
    </w:p>
    <w:p w14:paraId="13C924CB" w14:textId="559F237B" w:rsidR="000145BE" w:rsidRDefault="00D01BD5" w:rsidP="00D01B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1BD5">
        <w:rPr>
          <w:rFonts w:ascii="Times New Roman" w:hAnsi="Times New Roman" w:cs="Times New Roman"/>
          <w:sz w:val="24"/>
          <w:szCs w:val="24"/>
        </w:rPr>
        <w:t>Лицензионный срок составляет 10 лет (202</w:t>
      </w:r>
      <w:r w:rsidR="00D12A70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D01BD5">
        <w:rPr>
          <w:rFonts w:ascii="Times New Roman" w:hAnsi="Times New Roman" w:cs="Times New Roman"/>
          <w:sz w:val="24"/>
          <w:szCs w:val="24"/>
        </w:rPr>
        <w:t>-203</w:t>
      </w:r>
      <w:r w:rsidR="00D12A70">
        <w:rPr>
          <w:rFonts w:ascii="Times New Roman" w:hAnsi="Times New Roman" w:cs="Times New Roman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01BD5">
        <w:rPr>
          <w:rFonts w:ascii="Times New Roman" w:hAnsi="Times New Roman" w:cs="Times New Roman"/>
          <w:sz w:val="24"/>
          <w:szCs w:val="24"/>
        </w:rPr>
        <w:t>гг.)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F3EE1" w:rsidRPr="006F3EE1">
        <w:rPr>
          <w:rFonts w:ascii="Times New Roman" w:hAnsi="Times New Roman" w:cs="Times New Roman"/>
          <w:sz w:val="24"/>
          <w:szCs w:val="24"/>
        </w:rPr>
        <w:tab/>
      </w:r>
      <w:r w:rsidR="006F3EE1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</w:p>
    <w:p w14:paraId="0F418168" w14:textId="77777777" w:rsidR="006F3EE1" w:rsidRPr="000145BE" w:rsidRDefault="006F3EE1" w:rsidP="006F3E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2119CA3" w14:textId="5930D875" w:rsidR="00F612DE" w:rsidRPr="007416F3" w:rsidRDefault="000145BE" w:rsidP="007416F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E005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Оценка воздействия на атмосферный воздух в период планируемых работ:</w:t>
      </w:r>
      <w:bookmarkStart w:id="0" w:name="_Hlk151726850"/>
    </w:p>
    <w:bookmarkEnd w:id="0"/>
    <w:p w14:paraId="0BA96B4F" w14:textId="53C344A2" w:rsidR="00044210" w:rsidRPr="00044210" w:rsidRDefault="00044210" w:rsidP="00044210">
      <w:pPr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</w:pPr>
      <w:r w:rsidRPr="00044210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 xml:space="preserve">На период 2024-2033 гг. предприятие выбрасывает в атмосферу загрязняющие вещества 4 наименовании, от 8 стационарных неорганизованных источников выбросов загрязняющих веществ в атмосферу. </w:t>
      </w:r>
    </w:p>
    <w:p w14:paraId="7D867CBA" w14:textId="77777777" w:rsidR="00044210" w:rsidRPr="00044210" w:rsidRDefault="00044210" w:rsidP="00044210">
      <w:pPr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</w:pPr>
      <w:r w:rsidRPr="00044210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>В атмосферу выбрасываются загрязняющие вещества:</w:t>
      </w:r>
    </w:p>
    <w:p w14:paraId="49D80E74" w14:textId="67604FBE" w:rsidR="00842A1E" w:rsidRPr="00842A1E" w:rsidRDefault="00044210" w:rsidP="00044210">
      <w:pPr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Times New Roman CYR" w:eastAsia="Times New Roman" w:hAnsi="Times New Roman CYR" w:cs="Times New Roman CYR"/>
          <w:color w:val="000000"/>
          <w:sz w:val="24"/>
          <w:szCs w:val="24"/>
          <w:lang w:val="ru-RU" w:eastAsia="ru-RU"/>
        </w:rPr>
      </w:pPr>
      <w:r w:rsidRPr="00044210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>- 2024-2033 гг. – 46.157785 т/год</w:t>
      </w:r>
      <w:r w:rsidR="007416F3" w:rsidRPr="007416F3">
        <w:rPr>
          <w:rFonts w:ascii="Times New Roman" w:eastAsia="Times New Roman" w:hAnsi="Times New Roman" w:cs="Times New Roman"/>
          <w:spacing w:val="-1"/>
          <w:sz w:val="24"/>
          <w:szCs w:val="24"/>
          <w:lang w:val="ru-RU" w:eastAsia="ru-RU"/>
        </w:rPr>
        <w:t>.</w:t>
      </w:r>
    </w:p>
    <w:p w14:paraId="2E6F521E" w14:textId="77777777" w:rsidR="000145BE" w:rsidRPr="00842A1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FAE0F1A" w14:textId="77777777" w:rsidR="000145BE" w:rsidRPr="000D2CB9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D2C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Обоснование размеров санитарно-защитной зоны предприятия (СЗЗ) </w:t>
      </w:r>
    </w:p>
    <w:p w14:paraId="572261BC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 xml:space="preserve">Санитарно-защитная зона – территория, отделяющая зоны специального назначения, а также промышленные организации и другие производственные, коммунальные и складские объекты в населенном пункте от близлежащих селитебных территорий, зданий и сооружений жилищно-гражданского назначения в целях ослабления воздействия на них неблагоприятных факторов. </w:t>
      </w:r>
    </w:p>
    <w:p w14:paraId="5D0C4A2D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 xml:space="preserve">Ширина санитарно-защитных зон регламентируется санитарными нормами и правилами проектирования производственных объектов в зависимости от мощности предприятия и его класса опасности.  </w:t>
      </w:r>
    </w:p>
    <w:p w14:paraId="0FFE8282" w14:textId="77777777" w:rsidR="006F3EE1" w:rsidRPr="006F3EE1" w:rsidRDefault="006F3EE1" w:rsidP="006F3EE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F3E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объектов, являющихся объектами воздействия на среду обитания и здоровье человека от 11 января 2022 года № ҚР ДСМ-2:</w:t>
      </w:r>
    </w:p>
    <w:p w14:paraId="7F74070D" w14:textId="2E6F3F17" w:rsidR="00842A1E" w:rsidRDefault="006F3EE1" w:rsidP="006F3EE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3EE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4 (Строительная промышленность), п.15 (Класс II – СЗЗ 500 м), пп.4 (производ-ство щебенки, гравия и песка, обогащение кварцевого песка) деятельность месторождения по добыче песчано-гравийной смеси относится к II классу опасности с минимальным размером СЗЗ 500 м</w:t>
      </w:r>
      <w:r w:rsidR="00842A1E" w:rsidRPr="00842A1E">
        <w:rPr>
          <w:rFonts w:ascii="Times New Roman" w:hAnsi="Times New Roman" w:cs="Times New Roman"/>
          <w:sz w:val="24"/>
          <w:szCs w:val="24"/>
        </w:rPr>
        <w:t>.</w:t>
      </w:r>
    </w:p>
    <w:p w14:paraId="2522A54B" w14:textId="77777777" w:rsidR="006F3EE1" w:rsidRDefault="006F3EE1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5B7F49CA" w14:textId="728CF868" w:rsidR="000145BE" w:rsidRPr="00842A1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842A1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Оценка воздействия на водные ресурсы:  </w:t>
      </w:r>
    </w:p>
    <w:p w14:paraId="6CE3BB11" w14:textId="583D4F80" w:rsidR="00C7651C" w:rsidRPr="00C7651C" w:rsidRDefault="00C7651C" w:rsidP="00C7651C">
      <w:pPr>
        <w:jc w:val="both"/>
        <w:rPr>
          <w:rFonts w:ascii="Times New Roman" w:hAnsi="Times New Roman" w:cs="Times New Roman"/>
          <w:sz w:val="24"/>
          <w:szCs w:val="24"/>
        </w:rPr>
      </w:pPr>
      <w:r w:rsidRPr="00C7651C">
        <w:rPr>
          <w:rFonts w:ascii="Times New Roman" w:hAnsi="Times New Roman" w:cs="Times New Roman"/>
          <w:sz w:val="24"/>
          <w:szCs w:val="24"/>
        </w:rPr>
        <w:t xml:space="preserve">Ближайший поверхностный водный объект р.Иргиз, расположенная на расстоянии </w:t>
      </w:r>
      <w:r w:rsidR="00044210">
        <w:rPr>
          <w:rFonts w:ascii="Times New Roman" w:hAnsi="Times New Roman" w:cs="Times New Roman"/>
          <w:sz w:val="24"/>
          <w:szCs w:val="24"/>
          <w:lang w:val="ru-RU"/>
        </w:rPr>
        <w:t>2,4</w:t>
      </w:r>
      <w:r w:rsidRPr="00C7651C">
        <w:rPr>
          <w:rFonts w:ascii="Times New Roman" w:hAnsi="Times New Roman" w:cs="Times New Roman"/>
          <w:sz w:val="24"/>
          <w:szCs w:val="24"/>
        </w:rPr>
        <w:t xml:space="preserve"> км. Для создания производственно-бытовых условий персонала, занятого на горных работах, и функционирования проектируемого предприятия требуется обеспечение его водой хозпитьевого и технического назначения. Условия нахождения карьера от места проживания и режим его работы обуславливают ограниченное использование привозной воды на хозяйственно-питьевые нужды. Согласно Техническому заданию режим работы карьера – сезонный апрель-ноябрь, по количеству дней в месяце с учетом 3 дней на текущий ремонт, в одну смену продолжительностью 10 часов; количество рабочих смен –170; календарных рабочих часов – 1700. Списочный состав персонала, ежедневно обслуживающего горные работы, по времени их пребывания: ИТР и рабочие до 14 человек. Питание на месте ведения работ 1 раз в смену (столовая по договору аутсорсинга, расположенная территории АБП). Вода, используемая на хоз-бытовые нужды, расходуется на питье сменного персонала, приготовление пищи сменой. Назначение технической воды – орошение для пылеподавления внутри и межплощадочных автодорог, забоя, отвала и рабочих площадок, мойка и подпитка систем охлаждения механизмов и оборудования. </w:t>
      </w:r>
      <w:r w:rsidR="00044210" w:rsidRPr="00044210">
        <w:rPr>
          <w:rFonts w:ascii="Times New Roman" w:hAnsi="Times New Roman" w:cs="Times New Roman"/>
          <w:sz w:val="24"/>
          <w:szCs w:val="24"/>
        </w:rPr>
        <w:t>Годовой расход воды составит, м3: хоз-питьевой 23,8; технической -  7079,65</w:t>
      </w:r>
      <w:r w:rsidRPr="00C7651C">
        <w:rPr>
          <w:rFonts w:ascii="Times New Roman" w:hAnsi="Times New Roman" w:cs="Times New Roman"/>
          <w:sz w:val="24"/>
          <w:szCs w:val="24"/>
        </w:rPr>
        <w:t xml:space="preserve">. Ввиду того, что карьер находится вне города и выезд на городскую территорию не имеет места, то установка пункта мойки колес (ванн) не предусматривается. Источник питьевого водоснабжения – привозная бутилированная вода по договору с Подрядной организацией. Воду для технического водоснабжения недропользователь планирует привозить </w:t>
      </w:r>
      <w:r w:rsidRPr="00C7651C">
        <w:rPr>
          <w:rFonts w:ascii="Times New Roman" w:hAnsi="Times New Roman" w:cs="Times New Roman"/>
          <w:sz w:val="24"/>
          <w:szCs w:val="24"/>
        </w:rPr>
        <w:lastRenderedPageBreak/>
        <w:t xml:space="preserve">автоцистерной на базе автомобиля КамАЗ 53123 по договору с Подрядной организацией. Стоки от рукомойников и из пункта питания поступают по закрытой сети в септик. Стоки от душевых и столовой отсутствуют. С септика сточная вода и фекалии, по мере его наполнения, ассенизационной машиной вывозятся на специально созданный полигон, в соответствии с договором на оказание этих услуг. Объем водоотведения составит: 20,4* 0,8 = 19,0 м3. Септик представляет собой металлическую емкость. В качестве септика можно рекомендовать применение блочного септика заводского изготовления «АСО-3» Объем одного блока 2 м3. Предусмотрена возможность их стыкования. Общая потребность в блоках – 1 единица. </w:t>
      </w:r>
    </w:p>
    <w:p w14:paraId="70633A4D" w14:textId="77777777" w:rsidR="000145BE" w:rsidRPr="000145B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9C0A11F" w14:textId="77777777" w:rsidR="000145BE" w:rsidRPr="00842A1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842A1E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Воздействие на окружающую среду отходов производства и потребления </w:t>
      </w:r>
    </w:p>
    <w:p w14:paraId="767EBCE8" w14:textId="77777777" w:rsidR="00D01BD5" w:rsidRPr="00D01BD5" w:rsidRDefault="00D01BD5" w:rsidP="00D01B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1BD5">
        <w:rPr>
          <w:rFonts w:ascii="Times New Roman" w:hAnsi="Times New Roman" w:cs="Times New Roman"/>
          <w:sz w:val="24"/>
          <w:szCs w:val="24"/>
        </w:rPr>
        <w:t xml:space="preserve">В процессе производства и жизнедеятельности человека образуются различные виды отходов производства и потребления, которые могут стать потенциальными источниками вредного воздействия на окружающую среду.  </w:t>
      </w:r>
    </w:p>
    <w:p w14:paraId="7721F6A1" w14:textId="77777777" w:rsidR="00D01BD5" w:rsidRPr="00D01BD5" w:rsidRDefault="00D01BD5" w:rsidP="00D01B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1BD5">
        <w:rPr>
          <w:rFonts w:ascii="Times New Roman" w:hAnsi="Times New Roman" w:cs="Times New Roman"/>
          <w:sz w:val="24"/>
          <w:szCs w:val="24"/>
        </w:rPr>
        <w:t xml:space="preserve">Для обеспечения нормального санитарного содержания территории особую актуальность приобретают вопросы сбора, временного складирования, транспортировки и захоронения отходов производства и потребления.  </w:t>
      </w:r>
    </w:p>
    <w:p w14:paraId="6CFF837C" w14:textId="77777777" w:rsidR="00D01BD5" w:rsidRPr="00D01BD5" w:rsidRDefault="00D01BD5" w:rsidP="00D01B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1BD5">
        <w:rPr>
          <w:rFonts w:ascii="Times New Roman" w:hAnsi="Times New Roman" w:cs="Times New Roman"/>
          <w:sz w:val="24"/>
          <w:szCs w:val="24"/>
        </w:rPr>
        <w:t xml:space="preserve">В результате накопления отходов нарушается природное равновесие, потому что природные процессы воспроизводства не способны самостоятельно справиться с накопленными и качественно измененными отходами.  </w:t>
      </w:r>
    </w:p>
    <w:p w14:paraId="63C620C5" w14:textId="7A6D9219" w:rsidR="008616EA" w:rsidRDefault="00D01BD5" w:rsidP="000362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1BD5">
        <w:rPr>
          <w:rFonts w:ascii="Times New Roman" w:hAnsi="Times New Roman" w:cs="Times New Roman"/>
          <w:sz w:val="24"/>
          <w:szCs w:val="24"/>
        </w:rPr>
        <w:t>Отходами при проведении работ будут являться твердо-бытовые отходы</w:t>
      </w:r>
      <w:r w:rsidR="004C445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5675424" w14:textId="60C70EE1" w:rsidR="00D12A70" w:rsidRPr="0003628C" w:rsidRDefault="00D12A70" w:rsidP="0003628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2A70"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Образование отходов на период эксплуатации, Предварительно: </w:t>
      </w:r>
      <w:r w:rsidR="00044210" w:rsidRPr="00044210">
        <w:rPr>
          <w:rFonts w:ascii="Times New Roman" w:hAnsi="Times New Roman" w:cs="Times New Roman"/>
          <w:sz w:val="24"/>
          <w:szCs w:val="24"/>
          <w:lang w:val="ru-RU"/>
        </w:rPr>
        <w:t xml:space="preserve">Вскрышная порода (010102) – </w:t>
      </w:r>
      <w:r w:rsidR="00044210">
        <w:rPr>
          <w:rFonts w:ascii="Times New Roman" w:hAnsi="Times New Roman" w:cs="Times New Roman"/>
          <w:sz w:val="24"/>
          <w:szCs w:val="24"/>
          <w:lang w:val="ru-RU"/>
        </w:rPr>
        <w:t xml:space="preserve">50814 </w:t>
      </w:r>
      <w:r w:rsidR="00044210" w:rsidRPr="00044210">
        <w:rPr>
          <w:rFonts w:ascii="Times New Roman" w:hAnsi="Times New Roman" w:cs="Times New Roman"/>
          <w:sz w:val="24"/>
          <w:szCs w:val="24"/>
          <w:lang w:val="ru-RU"/>
        </w:rPr>
        <w:t xml:space="preserve">т/год, образуется в результате горных работ на месторождение, хранится в отвале вскрышных пород; </w:t>
      </w:r>
      <w:r w:rsidRPr="00D12A70">
        <w:rPr>
          <w:rFonts w:ascii="Times New Roman" w:hAnsi="Times New Roman" w:cs="Times New Roman"/>
          <w:sz w:val="24"/>
          <w:szCs w:val="24"/>
          <w:lang w:val="ru-RU"/>
        </w:rPr>
        <w:t xml:space="preserve">Смешанные коммунальные отходы (200301) – </w:t>
      </w:r>
      <w:r w:rsidR="00C7651C">
        <w:rPr>
          <w:rFonts w:ascii="Times New Roman" w:hAnsi="Times New Roman" w:cs="Times New Roman"/>
          <w:sz w:val="24"/>
          <w:szCs w:val="24"/>
          <w:lang w:val="ru-RU"/>
        </w:rPr>
        <w:t>1,0</w:t>
      </w:r>
      <w:r w:rsidRPr="00D12A70">
        <w:rPr>
          <w:rFonts w:ascii="Times New Roman" w:hAnsi="Times New Roman" w:cs="Times New Roman"/>
          <w:sz w:val="24"/>
          <w:szCs w:val="24"/>
          <w:lang w:val="ru-RU"/>
        </w:rPr>
        <w:t>5 т/год, данный вид отходов образуется в процессе жизнедеятельности человека, по мере образования отходы временно накапливаются в контейнеры, передаются по договору с специализированной организацией.</w:t>
      </w:r>
    </w:p>
    <w:p w14:paraId="04EB7D31" w14:textId="77777777" w:rsidR="006F3EE1" w:rsidRPr="000145BE" w:rsidRDefault="006F3EE1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51B410" w14:textId="3994E097" w:rsidR="000145BE" w:rsidRPr="000D2CB9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D2C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Оценка воздействия на почвенно-растительный покров и животный мир, </w:t>
      </w:r>
      <w:r w:rsidR="000D2C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/>
        </w:rPr>
        <w:t xml:space="preserve"> </w:t>
      </w:r>
      <w:r w:rsidRPr="000D2C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предложения по предотвращению и снижению вредного воздействия: </w:t>
      </w:r>
    </w:p>
    <w:p w14:paraId="69D7C9B0" w14:textId="5F81F953" w:rsidR="00842A1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5BE">
        <w:rPr>
          <w:rFonts w:ascii="Times New Roman" w:hAnsi="Times New Roman" w:cs="Times New Roman"/>
          <w:sz w:val="24"/>
          <w:szCs w:val="24"/>
        </w:rPr>
        <w:t xml:space="preserve">Строительные работы не окажут существенного влияния на растительный и </w:t>
      </w:r>
      <w:r w:rsidR="008B10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145BE">
        <w:rPr>
          <w:rFonts w:ascii="Times New Roman" w:hAnsi="Times New Roman" w:cs="Times New Roman"/>
          <w:sz w:val="24"/>
          <w:szCs w:val="24"/>
        </w:rPr>
        <w:t xml:space="preserve">животный мир, почвенный покров. </w:t>
      </w:r>
    </w:p>
    <w:p w14:paraId="2D22196A" w14:textId="3980A3E1" w:rsidR="00842A1E" w:rsidRDefault="00842A1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Вырубка зеленых насаждений проектом не предусматривается.</w:t>
      </w:r>
    </w:p>
    <w:p w14:paraId="14615F21" w14:textId="1D69A448" w:rsidR="000145BE" w:rsidRPr="000145B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68B3FD7" w14:textId="77777777" w:rsidR="000145BE" w:rsidRPr="000D2CB9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D2C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Физические факторы воздействия: </w:t>
      </w:r>
    </w:p>
    <w:p w14:paraId="4903FA63" w14:textId="64494D12" w:rsidR="000145BE" w:rsidRPr="000145B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5BE">
        <w:rPr>
          <w:rFonts w:ascii="Times New Roman" w:hAnsi="Times New Roman" w:cs="Times New Roman"/>
          <w:sz w:val="24"/>
          <w:szCs w:val="24"/>
        </w:rPr>
        <w:t>В отчете описано воздействие шума, вибрации на стадии строительства, предусмотрены мероприятия по снижению уровня шума и воздействие</w:t>
      </w:r>
      <w:r w:rsidR="008B10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145BE">
        <w:rPr>
          <w:rFonts w:ascii="Times New Roman" w:hAnsi="Times New Roman" w:cs="Times New Roman"/>
          <w:sz w:val="24"/>
          <w:szCs w:val="24"/>
        </w:rPr>
        <w:t xml:space="preserve">электромагнитных полей. Источники ионизирующего излучения проектом не предусмотрены в период строительства проектируемых объектов, поэтому изменение радиологической ситуации района расположения объектов не ожидается. </w:t>
      </w:r>
    </w:p>
    <w:p w14:paraId="07743080" w14:textId="0661DF5B" w:rsidR="000145BE" w:rsidRPr="000145B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5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754CF5" w14:textId="77777777" w:rsidR="000145BE" w:rsidRPr="000D2CB9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D2C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Оценка риска аварийных ситуаций: </w:t>
      </w:r>
    </w:p>
    <w:p w14:paraId="1A85BA61" w14:textId="4545C43B" w:rsidR="000145BE" w:rsidRPr="000145B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5BE">
        <w:rPr>
          <w:rFonts w:ascii="Times New Roman" w:hAnsi="Times New Roman" w:cs="Times New Roman"/>
          <w:sz w:val="24"/>
          <w:szCs w:val="24"/>
        </w:rPr>
        <w:t xml:space="preserve">Принятые проектные решения и методы строительства обеспечат высокую надежность и экологическую безопасность процессов при производстве работ. При соблюдении техники безопасности в период строительства воздействие на окружающую среду минимально. </w:t>
      </w:r>
    </w:p>
    <w:p w14:paraId="384C1ACE" w14:textId="77777777" w:rsidR="000145BE" w:rsidRPr="000145B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AAD3371" w14:textId="77777777" w:rsidR="000145BE" w:rsidRPr="000D2CB9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0D2C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Комплексная оценка воздействия на окружающую среду </w:t>
      </w:r>
    </w:p>
    <w:p w14:paraId="10F36EFB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 xml:space="preserve">Основными компонентами природной среды, подвергающимися значительным по масштабу воздействиям, являются почвенно-растительный покров, воздушный бассейн, подземные воды, недра, флора и фауна района, социальная среда. На основании анализа </w:t>
      </w:r>
      <w:r w:rsidRPr="00842A1E">
        <w:rPr>
          <w:rFonts w:ascii="Times New Roman" w:hAnsi="Times New Roman" w:cs="Times New Roman"/>
          <w:sz w:val="24"/>
          <w:szCs w:val="24"/>
        </w:rPr>
        <w:lastRenderedPageBreak/>
        <w:t>современной ситуации, принятых проектных решений и их прогнозируемых последствий ниже дается обобщенная схема их воздействия на отдельные среды.</w:t>
      </w:r>
    </w:p>
    <w:p w14:paraId="65F555CB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Взаимодействие элементов системы происходит как в пространстве, так и во времени, поэтому какие-либо экологические выводы и прогнозы должны учитывать комплексное воздействие различных элементов экосистем.</w:t>
      </w:r>
    </w:p>
    <w:p w14:paraId="0FE938F2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В результате намечаемой хозяйственной деятельности с учетом выполнения природоохранных мероприятий наблюдаются остаточные последствия воздействий. Оценку значимости остаточных последствий можно проводить по следующей шкале:</w:t>
      </w:r>
    </w:p>
    <w:p w14:paraId="013A5A7C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1.</w:t>
      </w:r>
      <w:r w:rsidRPr="00842A1E">
        <w:rPr>
          <w:rFonts w:ascii="Times New Roman" w:hAnsi="Times New Roman" w:cs="Times New Roman"/>
          <w:sz w:val="24"/>
          <w:szCs w:val="24"/>
        </w:rPr>
        <w:tab/>
        <w:t>Величина:</w:t>
      </w:r>
    </w:p>
    <w:p w14:paraId="36ADEDDC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- пренебрежимо малая – без последствий;</w:t>
      </w:r>
    </w:p>
    <w:p w14:paraId="498AEE35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- малая – природные ресурсы могут восстановиться в течение 1 сезона;</w:t>
      </w:r>
    </w:p>
    <w:p w14:paraId="71E15206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- незначительная – ресурсы восстановятся, если будут приняты соответствующие природоохранные меры;</w:t>
      </w:r>
    </w:p>
    <w:p w14:paraId="6C14AA29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- значительная – значительный урон природным ресурсам, требующий интенсивных мер по снижению воздействия.</w:t>
      </w:r>
    </w:p>
    <w:p w14:paraId="6FD0DC01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2. Зон влияния:</w:t>
      </w:r>
    </w:p>
    <w:p w14:paraId="3A950EF8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- локального масштаба – воздействия проявляются только в области непосредственной деятельности;</w:t>
      </w:r>
    </w:p>
    <w:p w14:paraId="036C1CA2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- небольшого масштаба – в радиусе 100 м от границ производственной активности;</w:t>
      </w:r>
    </w:p>
    <w:p w14:paraId="659332D7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- регионального масштаба – воздействие значительно выходит за границы активности.</w:t>
      </w:r>
    </w:p>
    <w:p w14:paraId="5B124097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3. Продолжительность воздействия:</w:t>
      </w:r>
    </w:p>
    <w:p w14:paraId="6644BC91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- короткая: только в течение проводимых работ (срок проведения работ);</w:t>
      </w:r>
    </w:p>
    <w:p w14:paraId="7602ED1A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- средняя: 1-3 года;</w:t>
      </w:r>
    </w:p>
    <w:p w14:paraId="694EE3E5" w14:textId="77777777" w:rsidR="00842A1E" w:rsidRPr="00842A1E" w:rsidRDefault="00842A1E" w:rsidP="00842A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- длительная: больше 3-х лет.</w:t>
      </w:r>
    </w:p>
    <w:p w14:paraId="6B84709A" w14:textId="099CE03D" w:rsidR="000145BE" w:rsidRPr="000145BE" w:rsidRDefault="00842A1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2A1E">
        <w:rPr>
          <w:rFonts w:ascii="Times New Roman" w:hAnsi="Times New Roman" w:cs="Times New Roman"/>
          <w:sz w:val="24"/>
          <w:szCs w:val="24"/>
        </w:rPr>
        <w:t>В связи с отсутствием данных, необходимых для определения рисков на здоровье населения в рамках действующих методик, риски заболевания для здоровья населения, проживающих в рассматриваемом регионе, на период проведения работ не рассчитывались.</w:t>
      </w:r>
    </w:p>
    <w:p w14:paraId="65EAE28E" w14:textId="77777777" w:rsidR="000145BE" w:rsidRPr="000145B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58CD7CE" w14:textId="4CA404D1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8B104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Мероприятия по предотвращению, сокращению, смягчению выявленных воздействий намечаемой деятельности </w:t>
      </w:r>
    </w:p>
    <w:p w14:paraId="673FF398" w14:textId="4B599B58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B104D">
        <w:rPr>
          <w:rFonts w:ascii="Times New Roman" w:hAnsi="Times New Roman" w:cs="Times New Roman"/>
          <w:i/>
          <w:iCs/>
          <w:sz w:val="24"/>
          <w:szCs w:val="24"/>
        </w:rPr>
        <w:t xml:space="preserve">Мероприятия по охране атмосферного воздуха </w:t>
      </w:r>
    </w:p>
    <w:p w14:paraId="1B70EE6E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Учитывая то, что проведение строительных работ по реализации проектных решений, сопровождается значительными выбросами пыли в атмосферный воздух, предусмотрены мероприятия по снижению пыления в районе расположения предприятия. На неорганизованных источниках загрязнения атмосферы предусмотрены следующие мероприятия по снижению количества поступающей в атмосферу пыли:  </w:t>
      </w:r>
    </w:p>
    <w:p w14:paraId="5677AE21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- применение технически исправных машин и механизмов; </w:t>
      </w:r>
    </w:p>
    <w:p w14:paraId="485FFC5B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- орошение открытых грунтов и разгружаемых сыпучих материалов при производстве работ (гидрообеспыливание);  </w:t>
      </w:r>
    </w:p>
    <w:p w14:paraId="25611D21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>- укрывание грунта и сыпучих материалов при перевозке их автотранспортом.</w:t>
      </w:r>
    </w:p>
    <w:p w14:paraId="427405F0" w14:textId="47284A3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>- проведение работ по пылеподавлению на строительных площадках.</w:t>
      </w:r>
    </w:p>
    <w:p w14:paraId="7814AED6" w14:textId="47A95B81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B104D">
        <w:rPr>
          <w:rFonts w:ascii="Times New Roman" w:hAnsi="Times New Roman" w:cs="Times New Roman"/>
          <w:i/>
          <w:iCs/>
          <w:sz w:val="24"/>
          <w:szCs w:val="24"/>
        </w:rPr>
        <w:t xml:space="preserve">Мероприятия по охране водных ресурсов  </w:t>
      </w:r>
    </w:p>
    <w:p w14:paraId="4C84421A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С целью охраны подземных и поверхностных вод от загрязнения, разработаны следующие мероприятия: </w:t>
      </w:r>
    </w:p>
    <w:p w14:paraId="08E8AAC0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>- соблюдение режима и хозяйственного использования водоохранных зон и полос реки на указанном участке, предусмотренным постановлением;</w:t>
      </w:r>
    </w:p>
    <w:p w14:paraId="60EB5047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>- предусмотреть мероприятие, обеспечивающих пропуск паводковых вод;</w:t>
      </w:r>
    </w:p>
    <w:p w14:paraId="3E73AD67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>- при проведении строительных работ содержать территорию участка в санитарно чистом состоянии согласно нормам СэС и охраны окружающей среды – постоянно;</w:t>
      </w:r>
    </w:p>
    <w:p w14:paraId="76D01AB0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- в водоохранной зоне и полосе исключить размещение и строительство складов для хранения ГСМ, ядохимикатов, пунктов технического обслуживания, мойки автомашин, </w:t>
      </w:r>
      <w:r w:rsidRPr="008B104D">
        <w:rPr>
          <w:rFonts w:ascii="Times New Roman" w:hAnsi="Times New Roman" w:cs="Times New Roman"/>
          <w:sz w:val="24"/>
          <w:szCs w:val="24"/>
        </w:rPr>
        <w:lastRenderedPageBreak/>
        <w:t>свалок мусора и других объектов, отрицательно влияющих на качество поверхностных, подземных вод;</w:t>
      </w:r>
    </w:p>
    <w:p w14:paraId="289CBCB6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>- не допускать сброс ливневых и бытовых стоков в поверхностные водные объекты;</w:t>
      </w:r>
    </w:p>
    <w:p w14:paraId="200065D0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>- после окончания строительства, места проведения строительных работ восстановить;</w:t>
      </w:r>
    </w:p>
    <w:p w14:paraId="4A4EB248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>- обеспечение недопустимости залповых сбросов вод на рельеф местности;</w:t>
      </w:r>
    </w:p>
    <w:p w14:paraId="481A4634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>- не допускать захвата земель водного фонда;</w:t>
      </w:r>
    </w:p>
    <w:p w14:paraId="33040EC2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>- при перевозке сыпучих (пылящих) материалов предусмотреть укрытие кузовов автомобилей тентом;</w:t>
      </w:r>
    </w:p>
    <w:p w14:paraId="3DB70876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>- выполнение земляных работ с организацией пылеподавления (увлажнение поверхностей);</w:t>
      </w:r>
    </w:p>
    <w:p w14:paraId="31CC647E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>В связи с тем, что участок строительства входит в водоохранную полосу, обмыв колес осуществлять за пределами водоохранной полосы и зоны.</w:t>
      </w:r>
    </w:p>
    <w:p w14:paraId="09381682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>На территории строительства не производится:</w:t>
      </w:r>
    </w:p>
    <w:p w14:paraId="47C43FCF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>- размещение складов ядохимикатов, минеральных удобрений, ГСМ, мест складирования бытовых и производственных отходов;</w:t>
      </w:r>
    </w:p>
    <w:p w14:paraId="4ED0C615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- ограждающие дамбы выполняются насыпными из крупнообломочных грунтов с противофильтрационными мероприятиями. В качестве противофильтрационного устройства предусмотрена полиэтиленовая геомембрана, укладываемая на внутренних откосах оградительных дамб.  </w:t>
      </w:r>
    </w:p>
    <w:p w14:paraId="3A4C0452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- осуществляется контроль за состоянием ограждающих дамб и противофильтрационных мероприятий.  </w:t>
      </w:r>
    </w:p>
    <w:p w14:paraId="102FC0C0" w14:textId="6FB3FE76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B104D">
        <w:rPr>
          <w:rFonts w:ascii="Times New Roman" w:hAnsi="Times New Roman" w:cs="Times New Roman"/>
          <w:i/>
          <w:iCs/>
          <w:sz w:val="24"/>
          <w:szCs w:val="24"/>
        </w:rPr>
        <w:t xml:space="preserve">Мероприятия по обращению с отходами </w:t>
      </w:r>
    </w:p>
    <w:p w14:paraId="557D0D36" w14:textId="6735F6F1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Временное хранение образующихся отходов на стадии строительства будет организовано на специально организованных площадках в зависимости от агрегатного состояния и физико-химических свойств. Предусматривается, что все отходы, образующиеся в период строительства, будут перевозиться в герметичных специальных контейнерах. Это исключит возможность загрязнения окружающей среды отходами во время их транспортировки или в случае аварии транспортных средств. </w:t>
      </w:r>
    </w:p>
    <w:p w14:paraId="3970A390" w14:textId="1C4F61FB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B104D">
        <w:rPr>
          <w:rFonts w:ascii="Times New Roman" w:hAnsi="Times New Roman" w:cs="Times New Roman"/>
          <w:i/>
          <w:iCs/>
          <w:sz w:val="24"/>
          <w:szCs w:val="24"/>
        </w:rPr>
        <w:t xml:space="preserve">Мероприятия по охране почвенно-растительного покрова прилегающей территории </w:t>
      </w:r>
    </w:p>
    <w:p w14:paraId="313FA813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Проектом разработан комплекс природоохранных мероприятий, которые будут способствовать снижению негативного воздействия строительства проектируемых объектов на почвенно-растительный покров и обеспечат сохранение ресурсного потенциала земель и экологической ситуации в целом. </w:t>
      </w:r>
    </w:p>
    <w:p w14:paraId="721FB5CB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Снижение негативных последствий будет обеспечиваться реализацией комплекса технических, технологических и природоохранных мероприятий, включающих:  </w:t>
      </w:r>
    </w:p>
    <w:p w14:paraId="458E253B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- строгое соблюдение технологического плана работ;  </w:t>
      </w:r>
    </w:p>
    <w:p w14:paraId="79372544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- обеспечение герметизации емкостей и трубопроводов для предотвращения утечек углеводородного сырья;  выделение и обустройство мест для установки контейнеров для различных отходов;  </w:t>
      </w:r>
    </w:p>
    <w:p w14:paraId="539DA3ED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- сбор и вывоз отходов по договору сторонней организацией;  </w:t>
      </w:r>
    </w:p>
    <w:p w14:paraId="61A6AF9C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- проведение работ в границах выделенных земельных отводов;  </w:t>
      </w:r>
    </w:p>
    <w:p w14:paraId="52ABDED2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- проведение мероприятий по борьбе с чрезмерным запылением;  </w:t>
      </w:r>
    </w:p>
    <w:p w14:paraId="268FEE64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- заправка строительной техники в специально организованных местах;  </w:t>
      </w:r>
    </w:p>
    <w:p w14:paraId="7AB92C78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- своевременное проведение технического обслуживания, проверки и ремонта оборудования, строительной техники;  </w:t>
      </w:r>
    </w:p>
    <w:p w14:paraId="2CEBF600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- не допущение разброса бытового и строительного мусора по территории;  </w:t>
      </w:r>
    </w:p>
    <w:p w14:paraId="734921F5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>- не допущение слива бытовых и хозяйственных сточных вод на почвы.</w:t>
      </w:r>
    </w:p>
    <w:p w14:paraId="57A8AA8A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t xml:space="preserve">- рекультивация деградированных территорий, нарушенных и загрязненных в результате антропогенной деятельности земель: восстановление, воспроизводство и повышение плодородия почв и других полезных свойств земли, своевременное вовлечение ее в хозяйственный оборот, снятие, сохранение и использование плодородного слоя почвы при проведении работ, связанных с нарушением земель; </w:t>
      </w:r>
    </w:p>
    <w:p w14:paraId="7CA357C1" w14:textId="77777777" w:rsidR="008B104D" w:rsidRPr="008B104D" w:rsidRDefault="008B104D" w:rsidP="008B10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04D">
        <w:rPr>
          <w:rFonts w:ascii="Times New Roman" w:hAnsi="Times New Roman" w:cs="Times New Roman"/>
          <w:sz w:val="24"/>
          <w:szCs w:val="24"/>
        </w:rPr>
        <w:lastRenderedPageBreak/>
        <w:t>- защита земель от истощения, деградации и опустынивания, негативного воздействия водной и ветровой эрозии, селей, оползней, подтопления, затопления, заболачивания, вторичного засоления, иссушения и уплотнения, загрязнения отходами, химическими, биологическими, радиоактивными и другими вредными веществами.</w:t>
      </w:r>
    </w:p>
    <w:p w14:paraId="17DBE62A" w14:textId="77777777" w:rsidR="000145BE" w:rsidRPr="000145B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A699A71" w14:textId="77777777" w:rsidR="00C7651C" w:rsidRDefault="00C7651C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188942CF" w14:textId="77777777" w:rsidR="00C7651C" w:rsidRDefault="00C7651C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6A198DEE" w14:textId="0056AF21" w:rsidR="000145BE" w:rsidRPr="008B104D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8B104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Вывод: </w:t>
      </w:r>
    </w:p>
    <w:p w14:paraId="765EF415" w14:textId="2AED84EC" w:rsidR="000145BE" w:rsidRPr="000145B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5BE">
        <w:rPr>
          <w:rFonts w:ascii="Times New Roman" w:hAnsi="Times New Roman" w:cs="Times New Roman"/>
          <w:sz w:val="24"/>
          <w:szCs w:val="24"/>
        </w:rPr>
        <w:t xml:space="preserve">Экологическое состояние окружающей среды территории на этапе </w:t>
      </w:r>
      <w:r w:rsidR="006F3EE1">
        <w:rPr>
          <w:rFonts w:ascii="Times New Roman" w:hAnsi="Times New Roman" w:cs="Times New Roman"/>
          <w:sz w:val="24"/>
          <w:szCs w:val="24"/>
          <w:lang w:val="ru-RU"/>
        </w:rPr>
        <w:t>добычных работ</w:t>
      </w:r>
      <w:r w:rsidRPr="000145BE">
        <w:rPr>
          <w:rFonts w:ascii="Times New Roman" w:hAnsi="Times New Roman" w:cs="Times New Roman"/>
          <w:sz w:val="24"/>
          <w:szCs w:val="24"/>
        </w:rPr>
        <w:t xml:space="preserve"> по расчетам допустимое (относительно удовлетворительное), в системе экспертных оценок низкого уровня, когда негативные изменения не превышают предела природной изменчивости. </w:t>
      </w:r>
    </w:p>
    <w:p w14:paraId="35F97640" w14:textId="7497FE08" w:rsidR="000145BE" w:rsidRPr="000145BE" w:rsidRDefault="000145BE" w:rsidP="00536C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45BE">
        <w:rPr>
          <w:rFonts w:ascii="Times New Roman" w:hAnsi="Times New Roman" w:cs="Times New Roman"/>
          <w:sz w:val="24"/>
          <w:szCs w:val="24"/>
        </w:rPr>
        <w:t xml:space="preserve">Регулярные наблюдения за состоянием окружающей среды, обеспечение безаварийной работы и выполнение всех предусмотренных проектом мероприятий, позволят осуществить реализацию намечаемой деятельности по строительству </w:t>
      </w:r>
      <w:r w:rsidR="00536C1E">
        <w:rPr>
          <w:rFonts w:ascii="Times New Roman" w:hAnsi="Times New Roman" w:cs="Times New Roman"/>
          <w:sz w:val="24"/>
          <w:szCs w:val="24"/>
          <w:lang w:val="ru-RU"/>
        </w:rPr>
        <w:t>защитных дамб</w:t>
      </w:r>
      <w:r w:rsidRPr="000145BE">
        <w:rPr>
          <w:rFonts w:ascii="Times New Roman" w:hAnsi="Times New Roman" w:cs="Times New Roman"/>
          <w:sz w:val="24"/>
          <w:szCs w:val="24"/>
        </w:rPr>
        <w:t xml:space="preserve"> без значимого влияния на окружающую среду и здоровье населения. </w:t>
      </w:r>
    </w:p>
    <w:p w14:paraId="3E3A353D" w14:textId="77777777" w:rsidR="000145BE" w:rsidRPr="000145BE" w:rsidRDefault="000145BE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22B7DE3" w14:textId="77777777" w:rsidR="008864E1" w:rsidRPr="000145BE" w:rsidRDefault="008864E1" w:rsidP="000145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864E1" w:rsidRPr="00014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4E1"/>
    <w:rsid w:val="000145BE"/>
    <w:rsid w:val="0003628C"/>
    <w:rsid w:val="00044210"/>
    <w:rsid w:val="000D2CB9"/>
    <w:rsid w:val="004C445D"/>
    <w:rsid w:val="004E005D"/>
    <w:rsid w:val="00536C1E"/>
    <w:rsid w:val="006D12DA"/>
    <w:rsid w:val="006F3EE1"/>
    <w:rsid w:val="007416F3"/>
    <w:rsid w:val="007F310D"/>
    <w:rsid w:val="00842A1E"/>
    <w:rsid w:val="008616EA"/>
    <w:rsid w:val="008864E1"/>
    <w:rsid w:val="008B104D"/>
    <w:rsid w:val="00A16A9B"/>
    <w:rsid w:val="00B2294E"/>
    <w:rsid w:val="00C56303"/>
    <w:rsid w:val="00C7651C"/>
    <w:rsid w:val="00C86AF0"/>
    <w:rsid w:val="00D01BD5"/>
    <w:rsid w:val="00D12A70"/>
    <w:rsid w:val="00F6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222F6"/>
  <w15:chartTrackingRefBased/>
  <w15:docId w15:val="{1DBC30BA-BB06-44DC-898F-39816A12F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3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2491</Words>
  <Characters>14201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12</cp:revision>
  <dcterms:created xsi:type="dcterms:W3CDTF">2022-01-05T05:15:00Z</dcterms:created>
  <dcterms:modified xsi:type="dcterms:W3CDTF">2024-02-16T09:57:00Z</dcterms:modified>
</cp:coreProperties>
</file>